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E0" w:rsidRDefault="00BB6A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VNITŘNÍ OZNAMOVACÍ SYSTÉM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br/>
        <w:t>Společnosti Společnost E / Czech Epilepsy Association, z. s.</w:t>
      </w:r>
    </w:p>
    <w:p w:rsidR="00D130E0" w:rsidRDefault="00D130E0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Úvod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Společnost E / Czech Epilepsy Associatiion, z. s. (dále jen „Společnost E“) klade velký důraz na dodržování právních předpisů a transparentnost vystupování a jednání všech osob, které se podílejí na činnosti Společnosti E. V souvislosti s účinností Směrnic</w:t>
      </w:r>
      <w:r>
        <w:rPr>
          <w:rFonts w:ascii="Calibri" w:eastAsia="Calibri" w:hAnsi="Calibri" w:cs="Calibri"/>
          <w:sz w:val="18"/>
          <w:szCs w:val="18"/>
        </w:rPr>
        <w:t>e Evropského parlamentu a Rady (EU) 2019/1937 ze dne 23. října 2019 o ochraně osob, které oznamují porušení práva Unie a s ohledem na zákon č. 171/2023 Sb., o ochraně oznamovatelů, byl připraven tento vnitřní oznamovací systém, který obsahuje pravidla, kte</w:t>
      </w:r>
      <w:r>
        <w:rPr>
          <w:rFonts w:ascii="Calibri" w:eastAsia="Calibri" w:hAnsi="Calibri" w:cs="Calibri"/>
          <w:sz w:val="18"/>
          <w:szCs w:val="18"/>
        </w:rPr>
        <w:t xml:space="preserve">rá přispějí k dodržování právních předpisů a eliminaci jednání, které není v souladu nejenom s právními nebo vnitřními předpisy.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Systém je založen na bezpečnosti, srozumitelnosti a důvěryhodnosti, aby se zaměstnanci a další pracovníci neobávali oznamovat </w:t>
      </w:r>
      <w:r>
        <w:rPr>
          <w:rFonts w:ascii="Calibri" w:eastAsia="Calibri" w:hAnsi="Calibri" w:cs="Calibri"/>
          <w:sz w:val="18"/>
          <w:szCs w:val="18"/>
        </w:rPr>
        <w:t xml:space="preserve">svá podezření na protiprávní jednání v rámci Společnosti E. </w:t>
      </w:r>
    </w:p>
    <w:p w:rsidR="00D130E0" w:rsidRDefault="00D130E0">
      <w:pPr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II.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Pojmy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Vnitřní oznamovací systém (VOS)</w:t>
      </w:r>
      <w:r>
        <w:rPr>
          <w:rFonts w:ascii="Calibri" w:eastAsia="Calibri" w:hAnsi="Calibri" w:cs="Calibri"/>
          <w:sz w:val="18"/>
          <w:szCs w:val="18"/>
        </w:rPr>
        <w:t xml:space="preserve"> obsahuje postup a nástroje, které slouží k přijímání oznámení, nakládání s ním, ochraně totožnosti oznamovatele, ochraně informací uvedených v oznámen</w:t>
      </w:r>
      <w:r>
        <w:rPr>
          <w:rFonts w:ascii="Calibri" w:eastAsia="Calibri" w:hAnsi="Calibri" w:cs="Calibri"/>
          <w:sz w:val="18"/>
          <w:szCs w:val="18"/>
        </w:rPr>
        <w:t xml:space="preserve">í a komunikace s oznamovatelem.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Povinným subjektem</w:t>
      </w:r>
      <w:r>
        <w:rPr>
          <w:rFonts w:ascii="Calibri" w:eastAsia="Calibri" w:hAnsi="Calibri" w:cs="Calibri"/>
          <w:sz w:val="18"/>
          <w:szCs w:val="18"/>
        </w:rPr>
        <w:t xml:space="preserve"> je Společnost E.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Oznamovatel </w:t>
      </w:r>
      <w:r>
        <w:rPr>
          <w:rFonts w:ascii="Calibri" w:eastAsia="Calibri" w:hAnsi="Calibri" w:cs="Calibri"/>
          <w:sz w:val="18"/>
          <w:szCs w:val="18"/>
        </w:rPr>
        <w:t xml:space="preserve">je fyzická osoba, která podá oznámení obsahující informace o možném protiprávním jednání, které porušuje právní předpisy Evropské unie upravující následující oblasti: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a) Zad</w:t>
      </w:r>
      <w:r>
        <w:rPr>
          <w:rFonts w:ascii="Calibri" w:eastAsia="Calibri" w:hAnsi="Calibri" w:cs="Calibri"/>
          <w:sz w:val="18"/>
          <w:szCs w:val="18"/>
        </w:rPr>
        <w:t>ávání veřejných zakázek;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b) finanční služby, produkty a trhy a předcházení praní peněz a financování terorismu;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c) bezpečnost a soulad výrobků s předpisy;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d) bezpečnost dopravy;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e) ochrana životního prostředí;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f) radiační ochrana a jaderná bezpečnost;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g) bezpečnost potravin a krmiv, zdraví a dobré životní podmínky zvířat;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h) veřejné zdraví;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i) ochrana spotřebitele;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j) ochrana soukromí a osobních údajů a bezpečnost sítí a informačních systémů;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 to v souvislosti s prací nebo jinou obdobnou činností pro či v rámci Společnosti E. </w:t>
      </w:r>
    </w:p>
    <w:p w:rsidR="00D130E0" w:rsidRDefault="00BB6A89">
      <w:p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Obsahem oznámení mohou být veškeré informace, které jsou nezbytné k učinění oznámení, a to i v případě, kdy by učiněním oznámení mohlo dojít k porušení povinnosti mlčenl</w:t>
      </w:r>
      <w:r>
        <w:rPr>
          <w:rFonts w:ascii="Calibri" w:eastAsia="Calibri" w:hAnsi="Calibri" w:cs="Calibri"/>
          <w:sz w:val="18"/>
          <w:szCs w:val="18"/>
        </w:rPr>
        <w:t>ivosti založené smlouvou, zákonem č. 280/2009 Sb., daňovým řádem, ve znění pozdějších předpisů, nebo jinými právními předpisy upravujícími výkon pracovní činnosti. Bez ohledu na výše uvedené však obsahem oznámení nemohou být informace, které jsou informace</w:t>
      </w:r>
      <w:r>
        <w:rPr>
          <w:rFonts w:ascii="Calibri" w:eastAsia="Calibri" w:hAnsi="Calibri" w:cs="Calibri"/>
          <w:sz w:val="18"/>
          <w:szCs w:val="18"/>
        </w:rPr>
        <w:t xml:space="preserve">mi vyloučenými z oznámení (viz níže). </w:t>
      </w:r>
    </w:p>
    <w:p w:rsidR="00D130E0" w:rsidRDefault="00D130E0">
      <w:pPr>
        <w:spacing w:after="0"/>
        <w:rPr>
          <w:rFonts w:ascii="Calibri" w:eastAsia="Calibri" w:hAnsi="Calibri" w:cs="Calibri"/>
          <w:color w:val="FF0000"/>
          <w:sz w:val="18"/>
          <w:szCs w:val="18"/>
        </w:rPr>
      </w:pP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Z oznamování jsou vyňaty určité typy informací, u kterých zájem na jejich ochraně převažuje nad zájmem na ochraně oznamovatele. Takovými informacemi jsou informace, které by mohly bezprostředně ohrozit podstatný bezpečnostní zájem České republiky a informa</w:t>
      </w:r>
      <w:r>
        <w:rPr>
          <w:rFonts w:ascii="Calibri" w:eastAsia="Calibri" w:hAnsi="Calibri" w:cs="Calibri"/>
          <w:sz w:val="18"/>
          <w:szCs w:val="18"/>
        </w:rPr>
        <w:t>ce o činnosti zpravodajských služeb. Dále nelze oznamovat skutečnosti, na které se vztahuje povinnost zachovávat ochranu utajovaných informací a informací, jejichž vyzrazení by zjevně mohlo ohrozit probíhající trestní řízení, a dále zvláštní skutečnosti po</w:t>
      </w:r>
      <w:r>
        <w:rPr>
          <w:rFonts w:ascii="Calibri" w:eastAsia="Calibri" w:hAnsi="Calibri" w:cs="Calibri"/>
          <w:sz w:val="18"/>
          <w:szCs w:val="18"/>
        </w:rPr>
        <w:t>dléhající ochraně podle zákona upravujícího krizové řízení. Oznamovatel také nesmí porušit povinnost mlčenlivosti při výkonu činnosti notáře, notářského kandidáta a koncipienta, státního zástupce, asistenta a právního čekatele, advokáta a advokátního konci</w:t>
      </w:r>
      <w:r>
        <w:rPr>
          <w:rFonts w:ascii="Calibri" w:eastAsia="Calibri" w:hAnsi="Calibri" w:cs="Calibri"/>
          <w:sz w:val="18"/>
          <w:szCs w:val="18"/>
        </w:rPr>
        <w:t>pienta, soudního exekutora, exekutorského kandidáta a koncipienta, soudce, asistenta soudce, justičního čekatele a daňového poradce a mlčenlivosti zaměstnance notáře, advokáta, soudního exekutora a daňového poradce, nebo mlčenlivosti při poskytování zdravo</w:t>
      </w:r>
      <w:r>
        <w:rPr>
          <w:rFonts w:ascii="Calibri" w:eastAsia="Calibri" w:hAnsi="Calibri" w:cs="Calibri"/>
          <w:sz w:val="18"/>
          <w:szCs w:val="18"/>
        </w:rPr>
        <w:t xml:space="preserve">tních služeb. Oznamovateli, který poruší důvěrnost uvedených informací nebo uvedené povinnosti mlčenlivosti, nenáleží ochrana. Takový oznamovatel také může být postižen pro protiprávní jednání, kterého se tím dopustil.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Při oznamování je nutné sdělovat pou</w:t>
      </w:r>
      <w:r>
        <w:rPr>
          <w:rFonts w:ascii="Calibri" w:eastAsia="Calibri" w:hAnsi="Calibri" w:cs="Calibri"/>
          <w:sz w:val="18"/>
          <w:szCs w:val="18"/>
        </w:rPr>
        <w:t>ze pravdivé informace. Vědomé oznamování nepravdivých informací je protiprávní a může vést k právnímu postihu.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Prací nebo jinou obdobnou činností</w:t>
      </w:r>
      <w:r>
        <w:rPr>
          <w:rFonts w:ascii="Calibri" w:eastAsia="Calibri" w:hAnsi="Calibri" w:cs="Calibri"/>
          <w:sz w:val="18"/>
          <w:szCs w:val="18"/>
        </w:rPr>
        <w:t xml:space="preserve"> se rozumí zaměstnání, služba, samostatně výdělečná činnost, dobrovolnická práce, odborná praxe, výkon funkce v</w:t>
      </w:r>
      <w:r>
        <w:rPr>
          <w:rFonts w:ascii="Calibri" w:eastAsia="Calibri" w:hAnsi="Calibri" w:cs="Calibri"/>
          <w:sz w:val="18"/>
          <w:szCs w:val="18"/>
        </w:rPr>
        <w:t xml:space="preserve">e voleném orgánu, výkon práv spojených s účastí v právnické osobě, správa svěřenského fondu, výkon práv a povinností vyplývajících ze smlouvy, jejímž předmětem je poskytování dodávek, služeb, stavebních prací nebo jiné obdobného plnění, ale též i ucházení </w:t>
      </w:r>
      <w:r>
        <w:rPr>
          <w:rFonts w:ascii="Calibri" w:eastAsia="Calibri" w:hAnsi="Calibri" w:cs="Calibri"/>
          <w:sz w:val="18"/>
          <w:szCs w:val="18"/>
        </w:rPr>
        <w:t xml:space="preserve">se o práci nebo jinou obdobnou činnost. Může se však jednat i o oznámení jiného protiprávního jednání, které s činností zaměstnavatele nesouvisí, nicméně oznamovatel se o něm dozvěděl v souvislosti s prací.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Není důležité, zda oznamovatel výše zmíněnou prá</w:t>
      </w:r>
      <w:r>
        <w:rPr>
          <w:rFonts w:ascii="Calibri" w:eastAsia="Calibri" w:hAnsi="Calibri" w:cs="Calibri"/>
          <w:sz w:val="18"/>
          <w:szCs w:val="18"/>
        </w:rPr>
        <w:t xml:space="preserve">ci v okamžiku podání oznámení stále vykonává, či jí vykonával v minulosti, nebo se o danou práci pouze ucházel a v rámci tohoto procesu se o protiprávním jednání dozvěděl.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Příslušná osoba</w:t>
      </w:r>
      <w:r>
        <w:rPr>
          <w:rFonts w:ascii="Calibri" w:eastAsia="Calibri" w:hAnsi="Calibri" w:cs="Calibri"/>
          <w:sz w:val="18"/>
          <w:szCs w:val="18"/>
        </w:rPr>
        <w:t xml:space="preserve"> je osoba odpovědná za přijímání oznámení a nakládání s ním, která p</w:t>
      </w:r>
      <w:r>
        <w:rPr>
          <w:rFonts w:ascii="Calibri" w:eastAsia="Calibri" w:hAnsi="Calibri" w:cs="Calibri"/>
          <w:sz w:val="18"/>
          <w:szCs w:val="18"/>
        </w:rPr>
        <w:t>osuzuje oznámení a navrhuje povinnému subjektu opatření k nápravě zjištěného protiprávního stavu.</w:t>
      </w:r>
    </w:p>
    <w:p w:rsidR="00D130E0" w:rsidRDefault="00BB6A89">
      <w:p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Povinné osoby</w:t>
      </w:r>
      <w:r>
        <w:rPr>
          <w:rFonts w:ascii="Calibri" w:eastAsia="Calibri" w:hAnsi="Calibri" w:cs="Calibri"/>
          <w:sz w:val="18"/>
          <w:szCs w:val="18"/>
        </w:rPr>
        <w:t xml:space="preserve"> znamenají zaměstnance Společnosti E, včetně zaměstnanců dočasně přidělených k výkonu práce pro Společnost E, členy orgánu Společnosti E, další o</w:t>
      </w:r>
      <w:r>
        <w:rPr>
          <w:rFonts w:ascii="Calibri" w:eastAsia="Calibri" w:hAnsi="Calibri" w:cs="Calibri"/>
          <w:sz w:val="18"/>
          <w:szCs w:val="18"/>
        </w:rPr>
        <w:t>soby vykonávající pracovní činnost pro Společnost E a jakékoli další fyzické a právnické osoby spolupracující se Společností E na základě smluvního vztahu a jejich zaměstnance, členy orgánů a další spolupracující osoby.</w:t>
      </w:r>
    </w:p>
    <w:p w:rsidR="00D130E0" w:rsidRDefault="00D130E0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III.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Komu lze oznámit podezřelé je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dnání (příslušná osoba)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Podezřelé jednání se oznamuje tzv. příslušné osobě, kterou jmenuje výkonný výbor Společnosti E.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Při výkonu své činnosti jedná příslušná osoba nestranně a nezávisle a zachovává důvěrnost totožnosti i informací uvedených v oznámení.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D130E0" w:rsidRPr="00A14B87" w:rsidRDefault="00BB6A89">
      <w:pPr>
        <w:jc w:val="left"/>
        <w:rPr>
          <w:rFonts w:ascii="Calibri" w:eastAsia="Calibri" w:hAnsi="Calibri" w:cs="Calibri"/>
          <w:sz w:val="18"/>
          <w:szCs w:val="18"/>
        </w:rPr>
      </w:pPr>
      <w:r w:rsidRPr="00A14B87">
        <w:rPr>
          <w:rFonts w:ascii="Calibri" w:eastAsia="Calibri" w:hAnsi="Calibri" w:cs="Calibri"/>
          <w:b/>
          <w:sz w:val="18"/>
          <w:szCs w:val="18"/>
        </w:rPr>
        <w:t>Příslušná osoba:</w:t>
      </w:r>
      <w:r w:rsidRPr="00A14B87">
        <w:rPr>
          <w:rFonts w:ascii="Calibri" w:eastAsia="Calibri" w:hAnsi="Calibri" w:cs="Calibri"/>
          <w:sz w:val="18"/>
          <w:szCs w:val="18"/>
        </w:rPr>
        <w:t xml:space="preserve"> </w:t>
      </w:r>
      <w:r w:rsidRPr="00A14B87">
        <w:rPr>
          <w:rFonts w:ascii="Calibri" w:eastAsia="Calibri" w:hAnsi="Calibri" w:cs="Calibri"/>
          <w:sz w:val="18"/>
          <w:szCs w:val="18"/>
        </w:rPr>
        <w:br/>
      </w:r>
      <w:r w:rsidR="00A14B87" w:rsidRPr="00A14B87">
        <w:rPr>
          <w:rFonts w:ascii="Calibri" w:eastAsia="Calibri" w:hAnsi="Calibri" w:cs="Calibri"/>
          <w:sz w:val="18"/>
          <w:szCs w:val="18"/>
        </w:rPr>
        <w:t>Jméno a příjmení: Renata Šímová</w:t>
      </w:r>
      <w:r w:rsidRPr="00A14B87">
        <w:rPr>
          <w:rFonts w:ascii="Calibri" w:eastAsia="Calibri" w:hAnsi="Calibri" w:cs="Calibri"/>
          <w:sz w:val="18"/>
          <w:szCs w:val="18"/>
        </w:rPr>
        <w:br/>
        <w:t>e-mail: vnitrnioznameni@spolecnost-e.cz</w:t>
      </w:r>
      <w:r w:rsidRPr="00A14B87">
        <w:rPr>
          <w:rFonts w:ascii="Calibri" w:eastAsia="Calibri" w:hAnsi="Calibri" w:cs="Calibri"/>
          <w:sz w:val="18"/>
          <w:szCs w:val="18"/>
        </w:rPr>
        <w:br/>
        <w:t>adresa pro doručování: Liškova 959/3,</w:t>
      </w:r>
      <w:r w:rsidR="00A2210F">
        <w:rPr>
          <w:rFonts w:ascii="Calibri" w:eastAsia="Calibri" w:hAnsi="Calibri" w:cs="Calibri"/>
          <w:sz w:val="18"/>
          <w:szCs w:val="18"/>
        </w:rPr>
        <w:t xml:space="preserve"> 142 00 Praha 4</w:t>
      </w:r>
      <w:r w:rsidR="00A2210F">
        <w:rPr>
          <w:rFonts w:ascii="Calibri" w:eastAsia="Calibri" w:hAnsi="Calibri" w:cs="Calibri"/>
          <w:sz w:val="18"/>
          <w:szCs w:val="18"/>
        </w:rPr>
        <w:br/>
        <w:t>datová schránka: zv76736</w:t>
      </w:r>
    </w:p>
    <w:p w:rsidR="00D130E0" w:rsidRPr="00A14B87" w:rsidRDefault="00BB6A89">
      <w:pPr>
        <w:jc w:val="left"/>
        <w:rPr>
          <w:rFonts w:ascii="Calibri" w:eastAsia="Calibri" w:hAnsi="Calibri" w:cs="Calibri"/>
          <w:sz w:val="18"/>
          <w:szCs w:val="18"/>
        </w:rPr>
      </w:pPr>
      <w:r w:rsidRPr="00A14B87">
        <w:rPr>
          <w:rFonts w:ascii="Calibri" w:eastAsia="Calibri" w:hAnsi="Calibri" w:cs="Calibri"/>
          <w:b/>
          <w:sz w:val="18"/>
          <w:szCs w:val="18"/>
        </w:rPr>
        <w:t>Náhradník (zástupce) v případě nepřítomnosti příslušné osoby:</w:t>
      </w:r>
      <w:r w:rsidRPr="00A14B87">
        <w:rPr>
          <w:rFonts w:ascii="Calibri" w:eastAsia="Calibri" w:hAnsi="Calibri" w:cs="Calibri"/>
          <w:sz w:val="18"/>
          <w:szCs w:val="18"/>
        </w:rPr>
        <w:t xml:space="preserve"> </w:t>
      </w:r>
      <w:r w:rsidRPr="00A14B87">
        <w:rPr>
          <w:rFonts w:ascii="Calibri" w:eastAsia="Calibri" w:hAnsi="Calibri" w:cs="Calibri"/>
          <w:sz w:val="18"/>
          <w:szCs w:val="18"/>
        </w:rPr>
        <w:br/>
        <w:t>Jméno a příjmení: Kami</w:t>
      </w:r>
      <w:r w:rsidR="00A14B87" w:rsidRPr="00A14B87">
        <w:rPr>
          <w:rFonts w:ascii="Calibri" w:eastAsia="Calibri" w:hAnsi="Calibri" w:cs="Calibri"/>
          <w:sz w:val="18"/>
          <w:szCs w:val="18"/>
        </w:rPr>
        <w:t>la Šrolerová</w:t>
      </w:r>
      <w:r w:rsidRPr="00A14B87">
        <w:rPr>
          <w:rFonts w:ascii="Calibri" w:eastAsia="Calibri" w:hAnsi="Calibri" w:cs="Calibri"/>
          <w:sz w:val="18"/>
          <w:szCs w:val="18"/>
        </w:rPr>
        <w:br/>
        <w:t>e-mail: vnitrnioznameni@spolecnost-e.cz</w:t>
      </w:r>
      <w:r w:rsidRPr="00A14B87">
        <w:rPr>
          <w:rFonts w:ascii="Calibri" w:eastAsia="Calibri" w:hAnsi="Calibri" w:cs="Calibri"/>
          <w:sz w:val="18"/>
          <w:szCs w:val="18"/>
        </w:rPr>
        <w:br/>
        <w:t>adresa pro doručování: Liškova 959/3, 142 00 Praha 4</w:t>
      </w:r>
      <w:r w:rsidRPr="00A14B87">
        <w:rPr>
          <w:rFonts w:ascii="Calibri" w:eastAsia="Calibri" w:hAnsi="Calibri" w:cs="Calibri"/>
          <w:sz w:val="18"/>
          <w:szCs w:val="18"/>
        </w:rPr>
        <w:br/>
        <w:t>datová schránka</w:t>
      </w:r>
      <w:r w:rsidR="00A2210F">
        <w:rPr>
          <w:rFonts w:ascii="Calibri" w:eastAsia="Calibri" w:hAnsi="Calibri" w:cs="Calibri"/>
          <w:sz w:val="18"/>
          <w:szCs w:val="18"/>
        </w:rPr>
        <w:t>: zv76736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Příslušná osoba zachovává mlčenlivost o skutečnostech, které se dozvěděla při výkonu své činnosti dle vnitřního oznamovacíh</w:t>
      </w:r>
      <w:r>
        <w:rPr>
          <w:rFonts w:ascii="Calibri" w:eastAsia="Calibri" w:hAnsi="Calibri" w:cs="Calibri"/>
          <w:sz w:val="18"/>
          <w:szCs w:val="18"/>
        </w:rPr>
        <w:t xml:space="preserve">o systému, zejména o informacích uvedených v oznámení, a to i po ukončení výkonu této činnosti. Příslušná osoba neposkytne třetí osobě informace, které by mohly ohrozit účel činění oznámení. Tímto není dotčena možnost příslušné osoby informovat Společnost </w:t>
      </w:r>
      <w:r>
        <w:rPr>
          <w:rFonts w:ascii="Calibri" w:eastAsia="Calibri" w:hAnsi="Calibri" w:cs="Calibri"/>
          <w:sz w:val="18"/>
          <w:szCs w:val="18"/>
        </w:rPr>
        <w:t xml:space="preserve">E o zjištěných porušeních pravidel dle dalších ustanovení tohoto VOS.   </w:t>
      </w: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IV.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Jak lze oznámit podezřelé jednání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Oznámení lze podat následujícími způsoby: </w:t>
      </w:r>
    </w:p>
    <w:p w:rsidR="00D130E0" w:rsidRDefault="00BB6A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Písemně, a to elektronicky nebo poštou, </w:t>
      </w:r>
    </w:p>
    <w:p w:rsidR="00D130E0" w:rsidRDefault="00BB6A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Ústně, a to osobně u příslušné osoby po předchozí domluvě nebo telefonicky.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 xml:space="preserve">V případě ústního oznámení bude příslušnou osobou pořízena zvuková nahrávka nebo přepis. Oznamovateli bude umožněno se k přepisu vyjádřit.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Nevysloví-li oznamovatel s pořízením zv</w:t>
      </w:r>
      <w:r>
        <w:rPr>
          <w:rFonts w:ascii="Calibri" w:eastAsia="Calibri" w:hAnsi="Calibri" w:cs="Calibri"/>
          <w:sz w:val="18"/>
          <w:szCs w:val="18"/>
        </w:rPr>
        <w:t>ukové nahrávky nebo přepisu souhlas, nesmí je příslušná osoba pořídit. V takovém případě sepíšou záznam, který věcně zachycuje podstatu ústního oznámení. Příslušná osoba umožní oznamovateli, aby se k záznamu vyjádřil; vyjádření oznamovatele se k záznamu př</w:t>
      </w:r>
      <w:r>
        <w:rPr>
          <w:rFonts w:ascii="Calibri" w:eastAsia="Calibri" w:hAnsi="Calibri" w:cs="Calibri"/>
          <w:sz w:val="18"/>
          <w:szCs w:val="18"/>
        </w:rPr>
        <w:t xml:space="preserve">iloží. Obdobně se postupuje, není-li technicky možné pořídit zvukovou nahrávku ústního oznámení.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Příslušná osoba je povinna chránit totožnost osoby oznamovatele, pokud tato neposkytne se zveřejněním totožnosti souhlas. Údaje o oznamovateli mohou být zveře</w:t>
      </w:r>
      <w:r>
        <w:rPr>
          <w:rFonts w:ascii="Calibri" w:eastAsia="Calibri" w:hAnsi="Calibri" w:cs="Calibri"/>
          <w:sz w:val="18"/>
          <w:szCs w:val="18"/>
        </w:rPr>
        <w:t>jněny pouze tehdy, když k tomu oznamovatel poskytne souhlas. Každý, kdo přijme oznámení, je povinen plně chránit osobní údaje oznamovatele před jejich vyzrazením nepovolané osobě. Totožnost osob (oznamovatele či osob uvedených v oznámení) může příslušná os</w:t>
      </w:r>
      <w:r>
        <w:rPr>
          <w:rFonts w:ascii="Calibri" w:eastAsia="Calibri" w:hAnsi="Calibri" w:cs="Calibri"/>
          <w:sz w:val="18"/>
          <w:szCs w:val="18"/>
        </w:rPr>
        <w:t>oba sdělit třetí osobě pouze se souhlasem oznamovatele, popř. v případech, kdy je k takovému sdělení příslušná osoba povinna na základě zákona; v takovém případě o takovém postupu a důvodech sdělení totožnosti informuje oznamovatele. Tímto není dotčena mož</w:t>
      </w:r>
      <w:r>
        <w:rPr>
          <w:rFonts w:ascii="Calibri" w:eastAsia="Calibri" w:hAnsi="Calibri" w:cs="Calibri"/>
          <w:sz w:val="18"/>
          <w:szCs w:val="18"/>
        </w:rPr>
        <w:t xml:space="preserve">nost příslušné osoby informovat Společnost E o totožnosti osob, jejichž jednání došlo k porušení pravidel či které do něj byly zapojeny, dle dalších ustanovení tohoto vnitřního oznamovacího systému. </w:t>
      </w:r>
    </w:p>
    <w:p w:rsidR="00D130E0" w:rsidRDefault="00BB6A89">
      <w:pPr>
        <w:spacing w:after="3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Oznámení lze učinit také anonymně. V takovém případě ozn</w:t>
      </w:r>
      <w:r>
        <w:rPr>
          <w:rFonts w:ascii="Calibri" w:eastAsia="Calibri" w:hAnsi="Calibri" w:cs="Calibri"/>
          <w:sz w:val="18"/>
          <w:szCs w:val="18"/>
        </w:rPr>
        <w:t xml:space="preserve">amovatel neuvede své identifikační údaje ani jiné údaje, které by mohly přispět k jeho identifikaci, a příslušná osoba oznámení nebude takové údaje zjišťovat. </w:t>
      </w:r>
    </w:p>
    <w:p w:rsidR="00D130E0" w:rsidRDefault="00D130E0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V.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Kdy lze oznámení podat a co se bude dít po oznámení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Oznámení lze podat kdykoliv, a to v so</w:t>
      </w:r>
      <w:r>
        <w:rPr>
          <w:rFonts w:ascii="Calibri" w:eastAsia="Calibri" w:hAnsi="Calibri" w:cs="Calibri"/>
          <w:sz w:val="18"/>
          <w:szCs w:val="18"/>
        </w:rPr>
        <w:t xml:space="preserve">uladu s podmínkami uvedenými v tomto vnitřním oznamovacím systému.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Příslušná osoba zpravidla vyrozumí oznamovatele do 7 dnů o přijetí oznámení.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Příslušná osoba písemně vyrozumí oznamovatele do 3 měsíců o způsobu vyřízení jeho oznámení. Ve skutkově či prá</w:t>
      </w:r>
      <w:r>
        <w:rPr>
          <w:rFonts w:ascii="Calibri" w:eastAsia="Calibri" w:hAnsi="Calibri" w:cs="Calibri"/>
          <w:sz w:val="18"/>
          <w:szCs w:val="18"/>
        </w:rPr>
        <w:t>vně složitých případech může Řešitel oznámení tuto lhůtu prodloužit až o 30 dnů, nejvýše však dvakrát; v takovém případě však musí o prodloužení lhůty a jeho důvodech vždy informovat oznamovatele před uplynutím původní lhůty.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Výše uvedené povinnosti se neu</w:t>
      </w:r>
      <w:r>
        <w:rPr>
          <w:rFonts w:ascii="Calibri" w:eastAsia="Calibri" w:hAnsi="Calibri" w:cs="Calibri"/>
          <w:sz w:val="18"/>
          <w:szCs w:val="18"/>
        </w:rPr>
        <w:t>platní v případě, kdy oznamovatel výslovně požádal příslušnou osobu, aby nebyl informován o přijetí oznámení, nebo je zřejmé, že by tím došlo k prozrazení totožnosti oznamovatele nebo oznámení bylo učiněno anonymně a příslušná osoba nemá k dispozici kontak</w:t>
      </w:r>
      <w:r>
        <w:rPr>
          <w:rFonts w:ascii="Calibri" w:eastAsia="Calibri" w:hAnsi="Calibri" w:cs="Calibri"/>
          <w:sz w:val="18"/>
          <w:szCs w:val="18"/>
        </w:rPr>
        <w:t xml:space="preserve">t na oznamovatele. </w:t>
      </w:r>
    </w:p>
    <w:p w:rsidR="00D130E0" w:rsidRDefault="00D130E0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VI.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Posouzení oznámení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Příslušná osoba posoudí důvodnost a pravdivost oznámení. Za tímto účelem je oprávněna vyžádat si od všech zaměstnanců Společnosti E a členů orgánů Společnosti E veškeré potřebné informace.  Oznámení posuzuje os</w:t>
      </w:r>
      <w:r>
        <w:rPr>
          <w:rFonts w:ascii="Calibri" w:eastAsia="Calibri" w:hAnsi="Calibri" w:cs="Calibri"/>
          <w:sz w:val="18"/>
          <w:szCs w:val="18"/>
        </w:rPr>
        <w:t xml:space="preserve">obně a není při něm vázán pokyny jiných osob ve Společnosti E.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Příslušná osoba posoudí zejména následující otázky: </w:t>
      </w:r>
    </w:p>
    <w:p w:rsidR="00D130E0" w:rsidRDefault="00BB6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Spadá oznamované jednání pod definované oblasti? </w:t>
      </w:r>
    </w:p>
    <w:p w:rsidR="00D130E0" w:rsidRDefault="00BB6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Dozvěděl se oznamovatel o oznamovaném jednání v souvislosti s prací? </w:t>
      </w:r>
    </w:p>
    <w:p w:rsidR="00D130E0" w:rsidRDefault="00BB6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Postačuje oznamované jednání vyřešit interně? </w:t>
      </w:r>
    </w:p>
    <w:p w:rsidR="00D130E0" w:rsidRDefault="00BB6A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O jaký druh protiprávního jednání se může jednat (přestupek, trestný čin, jiné protiprávní jednání)?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Příslušná osoba při posuzování důvodnosti oznámení provádí následující kroky: </w:t>
      </w:r>
    </w:p>
    <w:p w:rsidR="00D130E0" w:rsidRDefault="00BB6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detailně posuzuje podezřelou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skutečnost a dohledává další podezřelé skutečnosti;</w:t>
      </w:r>
    </w:p>
    <w:p w:rsidR="00D130E0" w:rsidRDefault="00BB6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získává ucelený obraz o porušení pravidel, zahrnující detailní informace o porušení pravidel, jeho průběhu, vývoji v čase a opakování, konkrétním jednání zapojených osob a jejich podílu na tomto porušení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pravidel;</w:t>
      </w:r>
    </w:p>
    <w:p w:rsidR="00D130E0" w:rsidRDefault="00BB6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posuzuje získané důkazy, informace a dokumenty o porušení pravidel a získává veškeré další důkazy, informace a dokumenty k vyšetření konkrétního porušení pravidel, a to jak vlastní aktivitou, tak od povinných osob.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Příslušná osoba oznámení odmítne, pokud obsahuje informace vyloučené z oznámení dle čl. II. V takovém případě vyrozumí oznamovatele, že oznámení nemůže být z těchto důvodů přijato, a to ve lhůtě dle čl. V. </w:t>
      </w:r>
    </w:p>
    <w:p w:rsidR="00D130E0" w:rsidRDefault="00BB6A89">
      <w:p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 xml:space="preserve">Povinné osoby poskytnou příslušné osobě veškerou </w:t>
      </w:r>
      <w:r>
        <w:rPr>
          <w:rFonts w:ascii="Calibri" w:eastAsia="Calibri" w:hAnsi="Calibri" w:cs="Calibri"/>
          <w:sz w:val="18"/>
          <w:szCs w:val="18"/>
        </w:rPr>
        <w:t>součinnost potřebnou pro posuzování oznámení, a to včetně osobních konzultací, poskytnutí jakýchkoliv informací a dokumentů a zpřístupnění zařízení a prostor Společnosti E. Tuto součinnost poskytnou povinné osoby i tehdy, pokud by se jejím poskytnutím dopu</w:t>
      </w:r>
      <w:r>
        <w:rPr>
          <w:rFonts w:ascii="Calibri" w:eastAsia="Calibri" w:hAnsi="Calibri" w:cs="Calibri"/>
          <w:sz w:val="18"/>
          <w:szCs w:val="18"/>
        </w:rPr>
        <w:t>stily porušení povinnosti mlčenlivosti založené smlouvou, zákonem č. 280/2009 Sb., daňovým řádem, ve znění pozdějších předpisů, nebo jinými právními předpisy upravujícími výkon pracovní činnosti. Bez ohledu na výše uvedené však nesmí dojít k narušení důvěr</w:t>
      </w:r>
      <w:r>
        <w:rPr>
          <w:rFonts w:ascii="Calibri" w:eastAsia="Calibri" w:hAnsi="Calibri" w:cs="Calibri"/>
          <w:sz w:val="18"/>
          <w:szCs w:val="18"/>
        </w:rPr>
        <w:t>nosti informací vyloučených z oznámení.</w:t>
      </w:r>
    </w:p>
    <w:p w:rsidR="00D130E0" w:rsidRDefault="00D130E0">
      <w:pPr>
        <w:spacing w:after="0"/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spacing w:after="0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Pokud příslušná osoba dojde při řešení oznámení k závěru, že důvodně hrozí závažné či nenapravitelné následky porušení pravidel, navrhne neprodleně statutárnímu orgánu či výkonnému výboru Společnosti E s výjimkou ta</w:t>
      </w:r>
      <w:r>
        <w:rPr>
          <w:rFonts w:ascii="Calibri" w:eastAsia="Calibri" w:hAnsi="Calibri" w:cs="Calibri"/>
          <w:sz w:val="18"/>
          <w:szCs w:val="18"/>
        </w:rPr>
        <w:t xml:space="preserve">kových členů, kterých se porušení pravidel přímo týká, popř. pokud se porušení pravidel týká všech členů statutárního orgánu Společnosti E, členů výkonného výboruSpolečnosti E, mimořádná opatření k zabránění vzniku těchto negativních následků. Mimořádnými </w:t>
      </w:r>
      <w:r>
        <w:rPr>
          <w:rFonts w:ascii="Calibri" w:eastAsia="Calibri" w:hAnsi="Calibri" w:cs="Calibri"/>
          <w:sz w:val="18"/>
          <w:szCs w:val="18"/>
        </w:rPr>
        <w:t xml:space="preserve">opatřeními jsou zejména udělení pokynu povinné osobě, zamezení přístupu povinné osoby k zařízením či do prostor Společnosti E, změna zařazení či povinností povinné osoby či dočasné přerušení spolupráce s povinnou osobou, je-li to možné. Mimořádná opatření </w:t>
      </w:r>
      <w:r>
        <w:rPr>
          <w:rFonts w:ascii="Calibri" w:eastAsia="Calibri" w:hAnsi="Calibri" w:cs="Calibri"/>
          <w:sz w:val="18"/>
          <w:szCs w:val="18"/>
        </w:rPr>
        <w:t xml:space="preserve">Příslušná osoba nenavrhne, pokud by tímto postupem mohlo dojít k vyzrazení totožnosti oznamovatele nebo ke zmaření nebo ohrožení účelu trestního řízení či řízení o přestupku, popř. o jednání majícího znaky přestupku. Osoba odpovědná za přijetí mimořádných </w:t>
      </w:r>
      <w:r>
        <w:rPr>
          <w:rFonts w:ascii="Calibri" w:eastAsia="Calibri" w:hAnsi="Calibri" w:cs="Calibri"/>
          <w:sz w:val="18"/>
          <w:szCs w:val="18"/>
        </w:rPr>
        <w:t>opatření bude určena příslušnou osobou ve spolupráci se statutárním orgánem či výkonným výborem. Mimořádná opatření budou prováděna do ukončení posuzování oznámení a přijetí nápravných opatření.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  </w:t>
      </w: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Pokud příslušná osoba shledá oznámení důvodné, navrhne statutárnímu orgánu opatření k nápravě nebo předejití protiprávnímu stavu v návaznosti na podané oznámení. Pokud příslušná osoba dojde k závěru, že došlo k porušení pravidel, oznámí tuto skutečnost sta</w:t>
      </w:r>
      <w:r>
        <w:rPr>
          <w:rFonts w:ascii="Calibri" w:eastAsia="Calibri" w:hAnsi="Calibri" w:cs="Calibri"/>
          <w:sz w:val="18"/>
          <w:szCs w:val="18"/>
        </w:rPr>
        <w:t>tutárnímu orgánu Společnosti E s výjimkou takových členů, kterých se Porušení pravidel přímo týká, popř. pokud se porušení pravidel týká právě  statutárního orgánu Společnosti E, oznámí příslušná osoba tuto skutečnost členům výkonného výboru  Společnosti E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 tomto oznámení uvede příslušná osoba také navrhovaná nápravná opatření, ledaže by tímto postupem mohlo dojít k vyzrazení totožnosti oznamovatele nebo ke zmaření nebo ohrožení účelu trestního řízení či řízení o přestupku, popř. o jednání majícího znaky</w:t>
      </w:r>
      <w:r>
        <w:rPr>
          <w:rFonts w:ascii="Calibri" w:eastAsia="Calibri" w:hAnsi="Calibri" w:cs="Calibri"/>
          <w:sz w:val="18"/>
          <w:szCs w:val="18"/>
        </w:rPr>
        <w:t xml:space="preserve"> přestupku; v takovém případě navrhne příslušná osoba nápravná opatření v okamžiku, kdy tyto okolnosti nebudou bránit jeho přijetí.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Pokud příslušná osoba došla  k závěru, že existuje důvodné podezření na spáchání protiprávního jednání, a současně získala </w:t>
      </w:r>
      <w:r>
        <w:rPr>
          <w:rFonts w:ascii="Calibri" w:eastAsia="Calibri" w:hAnsi="Calibri" w:cs="Calibri"/>
          <w:sz w:val="18"/>
          <w:szCs w:val="18"/>
        </w:rPr>
        <w:t>od oznamovatele souhlas neprodleně informuje příslušný správní, policejní nebo jiný orgán veřejné moci. Pokud je toto protiprávní jednání trestným činem, učiní o něm oznámení dle zákona vždy</w:t>
      </w: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VII.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Nápravná opatření </w:t>
      </w:r>
    </w:p>
    <w:p w:rsidR="00D130E0" w:rsidRDefault="00BB6A89">
      <w:p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K napravení nebo předejití porušení prav</w:t>
      </w:r>
      <w:r>
        <w:rPr>
          <w:rFonts w:ascii="Calibri" w:eastAsia="Calibri" w:hAnsi="Calibri" w:cs="Calibri"/>
          <w:sz w:val="18"/>
          <w:szCs w:val="18"/>
        </w:rPr>
        <w:t>idel mohou být přijata zejména následující nápravná opatření:</w:t>
      </w:r>
    </w:p>
    <w:p w:rsidR="00D130E0" w:rsidRDefault="00BB6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udělení pokynu povinné osobě či jiný způsob nápravy faktického stavu;</w:t>
      </w:r>
    </w:p>
    <w:p w:rsidR="00D130E0" w:rsidRDefault="00BB6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zamezení přístupu povinné osoby k zařízením či do prostor Společnosti E;</w:t>
      </w:r>
    </w:p>
    <w:p w:rsidR="00D130E0" w:rsidRDefault="00BB6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změna pracovního zařazení či povinností povinné oso</w:t>
      </w:r>
      <w:r>
        <w:rPr>
          <w:rFonts w:ascii="Calibri" w:eastAsia="Calibri" w:hAnsi="Calibri" w:cs="Calibri"/>
          <w:color w:val="000000"/>
          <w:sz w:val="18"/>
          <w:szCs w:val="18"/>
        </w:rPr>
        <w:t>by;</w:t>
      </w:r>
    </w:p>
    <w:p w:rsidR="00D130E0" w:rsidRDefault="00BB6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ukončení či změna spolupráce s povinnou osobou;</w:t>
      </w:r>
    </w:p>
    <w:p w:rsidR="00D130E0" w:rsidRDefault="00BB6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kázeňské opatření vůči povinné osobě či využití sankčních mechanismů dle uzavřené smlouvy (např. pracovní či jiné smlouvy na základě níž dochází ke spolupráci se Společností E) s povinnou osobou;</w:t>
      </w:r>
    </w:p>
    <w:p w:rsidR="00D130E0" w:rsidRDefault="00BB6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kompenzace újmy vzniklé poškozeným osobám a zajištění odborného poradenství poškozeným osobám;</w:t>
      </w:r>
    </w:p>
    <w:p w:rsidR="00D130E0" w:rsidRDefault="00BB6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uplatnění nároku na náhradu újmy či na zdržení se dalšího protiprávního jednání, popř. podpora poškozené osoby při jejím uplatnění takového nároku vůči škůdci;</w:t>
      </w:r>
    </w:p>
    <w:p w:rsidR="00D130E0" w:rsidRDefault="00BB6A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odání trestního oznámení, uplatnění nároku na náhradu škody v trestním řízení, popř. podpora poškozené osoby při těchto krocích. </w:t>
      </w:r>
    </w:p>
    <w:p w:rsidR="00D130E0" w:rsidRDefault="00D130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libri" w:eastAsia="Calibri" w:hAnsi="Calibri" w:cs="Calibri"/>
          <w:color w:val="000000"/>
          <w:sz w:val="18"/>
          <w:szCs w:val="18"/>
        </w:rPr>
      </w:pPr>
    </w:p>
    <w:p w:rsidR="00D130E0" w:rsidRDefault="00D130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libri" w:eastAsia="Calibri" w:hAnsi="Calibri" w:cs="Calibri"/>
          <w:color w:val="000000"/>
          <w:sz w:val="18"/>
          <w:szCs w:val="18"/>
        </w:rPr>
      </w:pPr>
    </w:p>
    <w:p w:rsidR="00D130E0" w:rsidRDefault="00BB6A89">
      <w:p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Příslušná osoba spolu s povinnými osobami vyhodnotí důvody, které umožnily vznik porušení pravidel, účinnost kontrolních mec</w:t>
      </w:r>
      <w:r>
        <w:rPr>
          <w:rFonts w:ascii="Calibri" w:eastAsia="Calibri" w:hAnsi="Calibri" w:cs="Calibri"/>
          <w:sz w:val="18"/>
          <w:szCs w:val="18"/>
        </w:rPr>
        <w:t xml:space="preserve">hanismů, které měly porušení pravidel zabránit či jej zjistit, jakož i účinnost přijímaných nápravných opatření. V návaznosti na tato zjištění navrhne příslušná osoba příslušné úpravy vnitřních dokumentů a fungování Společnosti E. </w:t>
      </w: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VIII.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Ochrana oznamovat</w:t>
      </w:r>
      <w:r>
        <w:rPr>
          <w:rFonts w:ascii="Calibri" w:eastAsia="Calibri" w:hAnsi="Calibri" w:cs="Calibri"/>
          <w:color w:val="000000"/>
          <w:sz w:val="18"/>
          <w:szCs w:val="18"/>
        </w:rPr>
        <w:t>ele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Po celou dobu výše uvedeného procesu musí být zajištěno, aby nebyla prozrazena identita oznamovatele.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Dalším prvkem ochrany je zákaz odvetných opatření, a to jak vůči oznamovateli, tak vůči dalším fyzickým i právnickým osobám, např. kolegům, pomocníků</w:t>
      </w:r>
      <w:r>
        <w:rPr>
          <w:rFonts w:ascii="Calibri" w:eastAsia="Calibri" w:hAnsi="Calibri" w:cs="Calibri"/>
          <w:sz w:val="18"/>
          <w:szCs w:val="18"/>
        </w:rPr>
        <w:t>m, brigádníkům oznamovatele, osobám oznamovateli blízkým, právnickým osobám, jejichž společníkem je oznamovatel atd. Tento zákaz dopadá předně na zaměstnavatele, ale také na další osoby pohybující se v pracovním prostředí. Odvetným opatřením se rozumí jaké</w:t>
      </w:r>
      <w:r>
        <w:rPr>
          <w:rFonts w:ascii="Calibri" w:eastAsia="Calibri" w:hAnsi="Calibri" w:cs="Calibri"/>
          <w:sz w:val="18"/>
          <w:szCs w:val="18"/>
        </w:rPr>
        <w:t>koli přímé či nepřímé jednání nebo opomenutí, k němuž dochází v pracovním kontextu, které je vyvolané interním či externím oznámením nebo uveřejněním a které oznamující osobě působí nebo může způsobit neoprávněnou újmu (např. skončení služebního poměru, ro</w:t>
      </w:r>
      <w:r>
        <w:rPr>
          <w:rFonts w:ascii="Calibri" w:eastAsia="Calibri" w:hAnsi="Calibri" w:cs="Calibri"/>
          <w:sz w:val="18"/>
          <w:szCs w:val="18"/>
        </w:rPr>
        <w:t>zvázání pracovního poměru, výpověď, neprodloužení pracovního poměru na dobu určitou, zrušení právního vztahu založeného dohodou o provedení práce nebo o pracovní činnosti, odvolání z místa vedoucího zaměstnance, snížení mzdy, platu nebo odměny, diskriminac</w:t>
      </w:r>
      <w:r>
        <w:rPr>
          <w:rFonts w:ascii="Calibri" w:eastAsia="Calibri" w:hAnsi="Calibri" w:cs="Calibri"/>
          <w:sz w:val="18"/>
          <w:szCs w:val="18"/>
        </w:rPr>
        <w:t>e, přeložení nebo převedení na jinou práci, změna rozvržení pracovní doby a jiné). Je to tedy jakékoliv jednání v pracovním kontextu, které může oznamovateli nebo s ním spřízněným osobám způsobit újmu.</w:t>
      </w: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IX.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Evidence a uchovávání oznámení </w:t>
      </w:r>
    </w:p>
    <w:p w:rsidR="00D130E0" w:rsidRDefault="00BB6A89">
      <w:p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Příslušná osoba v</w:t>
      </w:r>
      <w:r>
        <w:rPr>
          <w:rFonts w:ascii="Calibri" w:eastAsia="Calibri" w:hAnsi="Calibri" w:cs="Calibri"/>
          <w:sz w:val="18"/>
          <w:szCs w:val="18"/>
        </w:rPr>
        <w:t xml:space="preserve">ede evidenci všech oznámení v elektronické podobě.  Tato evidence je přístupná pouze příslušné osobě, který nesmí ohrozit důvěrnost v nich uchovávaných informací. </w:t>
      </w:r>
    </w:p>
    <w:p w:rsidR="00D130E0" w:rsidRDefault="00D130E0">
      <w:pPr>
        <w:spacing w:after="0"/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spacing w:after="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Dle zákona o ochraně oznamovatelů se v evidenci vedou následující údaje: </w:t>
      </w:r>
    </w:p>
    <w:p w:rsidR="00D130E0" w:rsidRDefault="00D130E0">
      <w:pPr>
        <w:spacing w:after="0"/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datum přijetí oznámení, </w:t>
      </w:r>
    </w:p>
    <w:p w:rsidR="00D130E0" w:rsidRDefault="00BB6A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jméno, příjmení, datum narození a kontaktní adresa oznamovatele, nebo jiné údaje, z nich je možné dovodit totožnost oznamovatele, jsou-li tyto údaje známy, </w:t>
      </w:r>
    </w:p>
    <w:p w:rsidR="00D130E0" w:rsidRDefault="00BB6A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shrnutí obsahu oznámení a identifikace osoby, proti které oznámení směřova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lo, je-li tato totožnost známa, </w:t>
      </w:r>
    </w:p>
    <w:p w:rsidR="00D130E0" w:rsidRDefault="00BB6A8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datum ukončení posouzení důvodnosti oznámení příslušnou osobou a jejich výsledek. </w:t>
      </w: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Příslušná osoba je povinna uchovávat oznámení podané prostřednictvím vnitřního oznamovacího systému a dokumenty související s oznámením po dobu 5 let ode dne přijetí oznámení. </w:t>
      </w:r>
    </w:p>
    <w:p w:rsidR="00D130E0" w:rsidRDefault="00BB6A8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18"/>
          <w:szCs w:val="18"/>
        </w:rPr>
        <w:t xml:space="preserve">X. 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Ustanovení o ochraně osobních údajů ve vztahu k oznamování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Proces oznamová</w:t>
      </w:r>
      <w:r>
        <w:rPr>
          <w:rFonts w:ascii="Calibri" w:eastAsia="Calibri" w:hAnsi="Calibri" w:cs="Calibri"/>
          <w:sz w:val="18"/>
          <w:szCs w:val="18"/>
        </w:rPr>
        <w:t>ní byl zřízen pro oznamování skutkových stavů relevantních z hlediska dodržování právních předpisů a eliminaci jednání, které není v souladu nejenom s právními předpisy, ale i pravidly interními (vnitřními). V rámci vnitřního oznamovacího systému lze hlási</w:t>
      </w:r>
      <w:r>
        <w:rPr>
          <w:rFonts w:ascii="Calibri" w:eastAsia="Calibri" w:hAnsi="Calibri" w:cs="Calibri"/>
          <w:sz w:val="18"/>
          <w:szCs w:val="18"/>
        </w:rPr>
        <w:t xml:space="preserve">t takové jednání, které může mít závažné trestněprávní důsledky nebo důsledky přestupkového práva.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Právním základem pro zpracování osobních údajů je článek 6 odst. 1 písm. c) GDPR.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Druh zpracovávaných osobních údajů: identifikační a kontaktní údaje oznam</w:t>
      </w:r>
      <w:r>
        <w:rPr>
          <w:rFonts w:ascii="Calibri" w:eastAsia="Calibri" w:hAnsi="Calibri" w:cs="Calibri"/>
          <w:sz w:val="18"/>
          <w:szCs w:val="18"/>
        </w:rPr>
        <w:t xml:space="preserve">ovatele v závislosti na způsobu oznámení (jméno a příjmení, emailová adresa a/nebo poštovní adresa, záznam hlasu na zvukové nahrávce pořízené při ústním oznámení či zaznamenaný na telefonním záznamníku a/nebo telefonní číslo)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Doba uložení údajů: 5 let ode</w:t>
      </w:r>
      <w:r>
        <w:rPr>
          <w:rFonts w:ascii="Calibri" w:eastAsia="Calibri" w:hAnsi="Calibri" w:cs="Calibri"/>
          <w:sz w:val="18"/>
          <w:szCs w:val="18"/>
        </w:rPr>
        <w:t xml:space="preserve"> dne přijetí oznámení. </w:t>
      </w: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A2210F" w:rsidRDefault="00A2210F">
      <w:pPr>
        <w:rPr>
          <w:rFonts w:ascii="Calibri" w:eastAsia="Calibri" w:hAnsi="Calibri" w:cs="Calibri"/>
          <w:sz w:val="18"/>
          <w:szCs w:val="18"/>
        </w:rPr>
      </w:pPr>
    </w:p>
    <w:p w:rsidR="00A2210F" w:rsidRDefault="00A2210F">
      <w:pPr>
        <w:rPr>
          <w:rFonts w:ascii="Calibri" w:eastAsia="Calibri" w:hAnsi="Calibri" w:cs="Calibri"/>
          <w:sz w:val="18"/>
          <w:szCs w:val="18"/>
        </w:rPr>
      </w:pPr>
    </w:p>
    <w:p w:rsidR="00A2210F" w:rsidRDefault="00A2210F">
      <w:pPr>
        <w:rPr>
          <w:rFonts w:ascii="Calibri" w:eastAsia="Calibri" w:hAnsi="Calibri" w:cs="Calibri"/>
          <w:sz w:val="18"/>
          <w:szCs w:val="18"/>
        </w:rPr>
      </w:pPr>
    </w:p>
    <w:p w:rsidR="00A2210F" w:rsidRDefault="00A2210F">
      <w:pPr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pStyle w:val="Nadpis1"/>
        <w:rPr>
          <w:rFonts w:ascii="Calibri" w:eastAsia="Calibri" w:hAnsi="Calibri" w:cs="Calibri"/>
          <w:color w:val="000000"/>
          <w:sz w:val="18"/>
          <w:szCs w:val="18"/>
        </w:rPr>
      </w:pPr>
      <w:bookmarkStart w:id="1" w:name="_GoBack"/>
      <w:bookmarkEnd w:id="1"/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PŘÍLOHA Č. 1</w:t>
      </w:r>
    </w:p>
    <w:p w:rsidR="00D130E0" w:rsidRDefault="00BB6A89" w:rsidP="00A2210F">
      <w:pPr>
        <w:pStyle w:val="Nadpis1"/>
        <w:numPr>
          <w:ilvl w:val="0"/>
          <w:numId w:val="0"/>
        </w:num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POVĚŘENÍ A POUČENÍ PŘÍSLUŠNÉ OSOBY O PRÁVECH A POVINNOSTECH </w:t>
      </w:r>
    </w:p>
    <w:p w:rsidR="00D130E0" w:rsidRPr="00A2210F" w:rsidRDefault="00BB6A89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 xml:space="preserve">Do funkce příslušné osoby dle zákona č. 171/2023 Sb., o ochraně oznamovatelů ve smyslu tohoto vnitřního oznamovacího systému tímto pověřuji: </w:t>
      </w:r>
    </w:p>
    <w:p w:rsidR="00D130E0" w:rsidRPr="00A2210F" w:rsidRDefault="00BB6A89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>Jméno a p</w:t>
      </w:r>
      <w:r w:rsidRPr="00A2210F">
        <w:rPr>
          <w:rFonts w:ascii="Calibri" w:eastAsia="Calibri" w:hAnsi="Calibri" w:cs="Calibri"/>
          <w:sz w:val="18"/>
          <w:szCs w:val="18"/>
        </w:rPr>
        <w:t>říjmení:  Renata Šímová</w:t>
      </w:r>
    </w:p>
    <w:p w:rsidR="00D130E0" w:rsidRPr="00A2210F" w:rsidRDefault="00BB6A89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 xml:space="preserve">Funkce: příslušná osoba dle výše uvedeného zákona </w:t>
      </w:r>
    </w:p>
    <w:p w:rsidR="00D130E0" w:rsidRPr="00A2210F" w:rsidRDefault="00BB6A89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>emailová adresa: vnitrnioznameni@spolecnost-e.cz</w:t>
      </w:r>
    </w:p>
    <w:p w:rsidR="00D130E0" w:rsidRPr="00A2210F" w:rsidRDefault="00BB6A89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>adresa pro doručování: Liškova 959/3, 142 00 Praha 4</w:t>
      </w:r>
    </w:p>
    <w:p w:rsidR="00D130E0" w:rsidRPr="00A2210F" w:rsidRDefault="00A2210F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>datová schránka: zv76736</w:t>
      </w:r>
    </w:p>
    <w:p w:rsidR="00D130E0" w:rsidRPr="00A2210F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Pr="00A2210F" w:rsidRDefault="00BB6A89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>Jméno a příjmení: Kamila Šrolerová</w:t>
      </w:r>
    </w:p>
    <w:p w:rsidR="00D130E0" w:rsidRPr="00A2210F" w:rsidRDefault="00BB6A89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 xml:space="preserve">Funkce: zástupce příslušné osoby </w:t>
      </w:r>
    </w:p>
    <w:p w:rsidR="00D130E0" w:rsidRPr="00A2210F" w:rsidRDefault="00BB6A89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>emailová adresa: vnitrnioznameni@spolecnost-e.cz</w:t>
      </w:r>
    </w:p>
    <w:p w:rsidR="00D130E0" w:rsidRPr="00A2210F" w:rsidRDefault="00BB6A89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>adresa pro doručování: Liškova 959/3, 142 00 Praha 4</w:t>
      </w:r>
    </w:p>
    <w:p w:rsidR="00D130E0" w:rsidRDefault="00A2210F">
      <w:pPr>
        <w:rPr>
          <w:rFonts w:ascii="Calibri" w:eastAsia="Calibri" w:hAnsi="Calibri" w:cs="Calibri"/>
          <w:sz w:val="18"/>
          <w:szCs w:val="18"/>
        </w:rPr>
      </w:pPr>
      <w:r w:rsidRPr="00A2210F">
        <w:rPr>
          <w:rFonts w:ascii="Calibri" w:eastAsia="Calibri" w:hAnsi="Calibri" w:cs="Calibri"/>
          <w:sz w:val="18"/>
          <w:szCs w:val="18"/>
        </w:rPr>
        <w:t>datová schránka: zv76736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 to v rámci Společnost E / Czech Epilepsy Association, z. s., se sídlem Liškova 959/3, Kamýk, 142 00 Praha </w:t>
      </w:r>
      <w:r>
        <w:rPr>
          <w:rFonts w:ascii="Calibri" w:eastAsia="Calibri" w:hAnsi="Calibri" w:cs="Calibri"/>
          <w:sz w:val="18"/>
          <w:szCs w:val="18"/>
        </w:rPr>
        <w:t>4, IČ: 00552534. Pověření se vztahuje k činnostem a úkolům dle vnitřního oznamovacího systému. Předsedkyně Společnosti E současně s tím poučila příslušné osoby o jejich právech a povinnostech ve smyslu § 9 odst. 2 písm. c) zákona č. 171/2023 Sb., o ochraně</w:t>
      </w:r>
      <w:r>
        <w:rPr>
          <w:rFonts w:ascii="Calibri" w:eastAsia="Calibri" w:hAnsi="Calibri" w:cs="Calibri"/>
          <w:sz w:val="18"/>
          <w:szCs w:val="18"/>
        </w:rPr>
        <w:t xml:space="preserve"> oznamovatelů. Příslušné osoby berou poučení na vědomí. </w:t>
      </w: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Praha dne 15. 12. 2023</w:t>
      </w: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_______________________              _______________________   _______________________ </w:t>
      </w: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předsedkyně Společnosti E                  příslušná osoba                          </w:t>
      </w:r>
      <w:r>
        <w:rPr>
          <w:rFonts w:ascii="Calibri" w:eastAsia="Calibri" w:hAnsi="Calibri" w:cs="Calibri"/>
          <w:sz w:val="18"/>
          <w:szCs w:val="18"/>
        </w:rPr>
        <w:t>zástupce příslušné osoby</w:t>
      </w: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Příloha č. 2</w:t>
      </w:r>
    </w:p>
    <w:p w:rsidR="00D130E0" w:rsidRDefault="00BB6A89">
      <w:pPr>
        <w:spacing w:after="160" w:line="259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Záznam* o oznámení ve smyslu zákona č. 171/2023 Sb., o ochraně oznamovatelů v rámci Vnitřního oznamovacího systému. </w:t>
      </w:r>
    </w:p>
    <w:p w:rsidR="00D130E0" w:rsidRDefault="00D130E0">
      <w:pPr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spacing w:after="0" w:line="276" w:lineRule="auto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Příslušná osoba: ………………………… přijala oznámení</w:t>
      </w:r>
    </w:p>
    <w:p w:rsidR="00D130E0" w:rsidRDefault="00D130E0">
      <w:pPr>
        <w:spacing w:after="0" w:line="276" w:lineRule="auto"/>
        <w:ind w:left="280"/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spacing w:after="0" w:line="276" w:lineRule="auto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dne:</w:t>
      </w:r>
    </w:p>
    <w:p w:rsidR="00D130E0" w:rsidRDefault="00D130E0">
      <w:pPr>
        <w:spacing w:after="0" w:line="276" w:lineRule="auto"/>
        <w:ind w:left="280"/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spacing w:after="0" w:line="276" w:lineRule="auto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od: jméno, příjmení, datum narození a kontaktní adresy oznamovatele, nebo jiných údajů, z nichž je možné dovodit totožnost oznamovatele, jsou-li tyto údaje známy</w:t>
      </w:r>
    </w:p>
    <w:p w:rsidR="00D130E0" w:rsidRDefault="00D130E0">
      <w:pPr>
        <w:spacing w:after="0" w:line="276" w:lineRule="auto"/>
        <w:ind w:left="280"/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spacing w:after="0" w:line="276" w:lineRule="auto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obsah oznámení: obsah oznámení a identifikace osoby, proti které oznámení směřovalo, je-li je</w:t>
      </w:r>
      <w:r>
        <w:rPr>
          <w:rFonts w:ascii="Calibri" w:eastAsia="Calibri" w:hAnsi="Calibri" w:cs="Calibri"/>
          <w:sz w:val="18"/>
          <w:szCs w:val="18"/>
        </w:rPr>
        <w:t>jí totožnost známa</w:t>
      </w:r>
    </w:p>
    <w:p w:rsidR="00D130E0" w:rsidRDefault="00D130E0">
      <w:pPr>
        <w:spacing w:after="0" w:line="276" w:lineRule="auto"/>
        <w:ind w:left="280"/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spacing w:after="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kdy došlo k ukončení posouzení (důvodnosti) oznámení a s  jakým výsledkem:</w:t>
      </w: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D130E0">
      <w:pPr>
        <w:spacing w:after="0" w:line="276" w:lineRule="auto"/>
        <w:ind w:left="1000" w:hanging="360"/>
        <w:rPr>
          <w:rFonts w:ascii="Calibri" w:eastAsia="Calibri" w:hAnsi="Calibri" w:cs="Calibri"/>
          <w:sz w:val="18"/>
          <w:szCs w:val="18"/>
        </w:rPr>
      </w:pPr>
    </w:p>
    <w:p w:rsidR="00D130E0" w:rsidRDefault="00BB6A89">
      <w:pPr>
        <w:spacing w:after="0"/>
        <w:ind w:left="28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*V případě </w:t>
      </w:r>
      <w:r>
        <w:rPr>
          <w:rFonts w:ascii="Calibri" w:eastAsia="Calibri" w:hAnsi="Calibri" w:cs="Calibri"/>
          <w:b/>
          <w:sz w:val="16"/>
          <w:szCs w:val="16"/>
        </w:rPr>
        <w:t>ústního oznámení</w:t>
      </w:r>
      <w:r>
        <w:rPr>
          <w:rFonts w:ascii="Calibri" w:eastAsia="Calibri" w:hAnsi="Calibri" w:cs="Calibri"/>
          <w:sz w:val="16"/>
          <w:szCs w:val="16"/>
        </w:rPr>
        <w:t xml:space="preserve"> je příslušná osoba povinna pořídit záznam oznámení, zvukovou nahrávku oznámení nebo její přepis.</w:t>
      </w:r>
      <w:r>
        <w:rPr>
          <w:rFonts w:ascii="Calibri" w:eastAsia="Calibri" w:hAnsi="Calibri" w:cs="Calibri"/>
          <w:sz w:val="16"/>
          <w:szCs w:val="16"/>
        </w:rPr>
        <w:t xml:space="preserve"> Odmítne-li oznamovatel pořízení nahrávky, nesmí ji příslušná osoba pořídit. V takovém případě se o podaném oznámení sepíše pouze </w:t>
      </w:r>
      <w:r>
        <w:rPr>
          <w:rFonts w:ascii="Calibri" w:eastAsia="Calibri" w:hAnsi="Calibri" w:cs="Calibri"/>
          <w:sz w:val="16"/>
          <w:szCs w:val="16"/>
          <w:u w:val="single"/>
        </w:rPr>
        <w:t>písemný záznam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 xml:space="preserve"> Příslušná osoba má povinnost oznámení a související dokumenty podle § 21 odst. 2 Zákona uchovat po dobu 5 let </w:t>
      </w:r>
      <w:r>
        <w:rPr>
          <w:rFonts w:ascii="Calibri" w:eastAsia="Calibri" w:hAnsi="Calibri" w:cs="Calibri"/>
          <w:sz w:val="16"/>
          <w:szCs w:val="16"/>
        </w:rPr>
        <w:t xml:space="preserve">od jeho přijetí. </w:t>
      </w:r>
    </w:p>
    <w:sectPr w:rsidR="00D13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3119" w:bottom="1418" w:left="1134" w:header="567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89" w:rsidRDefault="00BB6A89">
      <w:pPr>
        <w:spacing w:after="0"/>
      </w:pPr>
      <w:r>
        <w:separator/>
      </w:r>
    </w:p>
  </w:endnote>
  <w:endnote w:type="continuationSeparator" w:id="0">
    <w:p w:rsidR="00BB6A89" w:rsidRDefault="00BB6A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E0" w:rsidRDefault="00BB6A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  <w:p w:rsidR="00D130E0" w:rsidRDefault="00D130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981D97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E0" w:rsidRDefault="00BB6A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981D97"/>
        <w:sz w:val="14"/>
        <w:szCs w:val="14"/>
      </w:rPr>
    </w:pPr>
    <w: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10210800</wp:posOffset>
              </wp:positionV>
              <wp:extent cx="1413510" cy="155575"/>
              <wp:effectExtent l="0" t="0" r="0" b="0"/>
              <wp:wrapNone/>
              <wp:docPr id="24" name="Obdélní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4008" y="3706975"/>
                        <a:ext cx="14039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30E0" w:rsidRDefault="00BB6A8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981D97"/>
                              <w:sz w:val="18"/>
                            </w:rPr>
                            <w:t>www.spolecnost-e.cz</w:t>
                          </w:r>
                        </w:p>
                        <w:p w:rsidR="00D130E0" w:rsidRDefault="00D130E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10210800</wp:posOffset>
              </wp:positionV>
              <wp:extent cx="1413510" cy="155575"/>
              <wp:effectExtent b="0" l="0" r="0" t="0"/>
              <wp:wrapNone/>
              <wp:docPr id="2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3510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10096500</wp:posOffset>
              </wp:positionV>
              <wp:extent cx="1407795" cy="93345"/>
              <wp:effectExtent l="0" t="0" r="0" b="0"/>
              <wp:wrapNone/>
              <wp:docPr id="28" name="Obdélní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6865" y="3738090"/>
                        <a:ext cx="1398270" cy="83820"/>
                      </a:xfrm>
                      <a:prstGeom prst="rect">
                        <a:avLst/>
                      </a:prstGeom>
                      <a:solidFill>
                        <a:srgbClr val="981D97"/>
                      </a:solidFill>
                      <a:ln>
                        <a:noFill/>
                      </a:ln>
                    </wps:spPr>
                    <wps:txbx>
                      <w:txbxContent>
                        <w:p w:rsidR="00D130E0" w:rsidRDefault="00D130E0">
                          <w:pPr>
                            <w:spacing w:after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10096500</wp:posOffset>
              </wp:positionV>
              <wp:extent cx="1407795" cy="93345"/>
              <wp:effectExtent b="0" l="0" r="0" t="0"/>
              <wp:wrapNone/>
              <wp:docPr id="2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7795" cy="93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330200</wp:posOffset>
              </wp:positionV>
              <wp:extent cx="581025" cy="238125"/>
              <wp:effectExtent l="0" t="0" r="0" b="0"/>
              <wp:wrapNone/>
              <wp:docPr id="26" name="Obdélník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60250" y="366570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 xml:space="preserve"> PAGE 6/ NUMPAGES 6</w:t>
                          </w:r>
                        </w:p>
                        <w:p w:rsidR="00D130E0" w:rsidRDefault="00D130E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330200</wp:posOffset>
              </wp:positionV>
              <wp:extent cx="581025" cy="238125"/>
              <wp:effectExtent b="0" l="0" r="0" t="0"/>
              <wp:wrapNone/>
              <wp:docPr id="2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E0" w:rsidRDefault="00BB6A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981D97"/>
        <w:sz w:val="14"/>
        <w:szCs w:val="14"/>
      </w:rPr>
    </w:pPr>
    <w:r>
      <w:rPr>
        <w:color w:val="981D97"/>
        <w:sz w:val="14"/>
        <w:szCs w:val="14"/>
      </w:rPr>
      <w:t xml:space="preserve"> </w:t>
    </w:r>
    <w: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0</wp:posOffset>
              </wp:positionV>
              <wp:extent cx="1413510" cy="1496695"/>
              <wp:effectExtent l="0" t="0" r="0" b="0"/>
              <wp:wrapNone/>
              <wp:docPr id="25" name="Obdélní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4008" y="3036204"/>
                        <a:ext cx="1403985" cy="14875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>Společnost E</w:t>
                          </w:r>
                        </w:p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>Czech Epilepsy Association, z. s.</w:t>
                          </w:r>
                        </w:p>
                        <w:p w:rsidR="00D130E0" w:rsidRDefault="00D130E0">
                          <w:pPr>
                            <w:spacing w:after="0"/>
                            <w:textDirection w:val="btLr"/>
                          </w:pPr>
                        </w:p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>Adresa: Liškova 959/3,</w:t>
                          </w:r>
                        </w:p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>142 00 Praha 4</w:t>
                          </w:r>
                        </w:p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>Tel.: 241 722 136</w:t>
                          </w:r>
                        </w:p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>E-mail: info@spolecnost-e.cz</w:t>
                          </w:r>
                        </w:p>
                        <w:p w:rsidR="00D130E0" w:rsidRDefault="00D130E0">
                          <w:pPr>
                            <w:spacing w:after="0"/>
                            <w:textDirection w:val="btLr"/>
                          </w:pPr>
                        </w:p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>IČO: 00552534, DIČ: CZ00552534</w:t>
                          </w:r>
                        </w:p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 xml:space="preserve">Číslo účtu u České spořitelny: </w:t>
                          </w:r>
                        </w:p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>1922992389/0800</w:t>
                          </w:r>
                        </w:p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color w:val="981D97"/>
                              <w:sz w:val="14"/>
                            </w:rPr>
                            <w:t>Vedena u MS v Praze v oddílu L, vložce číslo 152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0</wp:posOffset>
              </wp:positionV>
              <wp:extent cx="1413510" cy="1496695"/>
              <wp:effectExtent b="0" l="0" r="0" t="0"/>
              <wp:wrapNone/>
              <wp:docPr id="2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3510" cy="1496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mc:AlternateContent>
        <mc:Choice Requires="wpg">
          <w:drawing>
            <wp:anchor distT="0" distB="0" distL="0" distR="0" simplePos="0" relativeHeight="251664384" behindDoc="1" locked="0" layoutInCell="1" hidden="0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10210800</wp:posOffset>
              </wp:positionV>
              <wp:extent cx="1413510" cy="155575"/>
              <wp:effectExtent l="0" t="0" r="0" b="0"/>
              <wp:wrapNone/>
              <wp:docPr id="23" name="Obdélní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4008" y="3706975"/>
                        <a:ext cx="14039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30E0" w:rsidRDefault="00BB6A8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981D97"/>
                              <w:sz w:val="18"/>
                            </w:rPr>
                            <w:t>www.spolecnost-e.cz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10210800</wp:posOffset>
              </wp:positionV>
              <wp:extent cx="1413510" cy="155575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3510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10096500</wp:posOffset>
              </wp:positionV>
              <wp:extent cx="1407795" cy="93345"/>
              <wp:effectExtent l="0" t="0" r="0" b="0"/>
              <wp:wrapNone/>
              <wp:docPr id="22" name="Obdélní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46865" y="3738090"/>
                        <a:ext cx="1398270" cy="83820"/>
                      </a:xfrm>
                      <a:prstGeom prst="rect">
                        <a:avLst/>
                      </a:prstGeom>
                      <a:solidFill>
                        <a:srgbClr val="981D97"/>
                      </a:solidFill>
                      <a:ln>
                        <a:noFill/>
                      </a:ln>
                    </wps:spPr>
                    <wps:txbx>
                      <w:txbxContent>
                        <w:p w:rsidR="00D130E0" w:rsidRDefault="00D130E0">
                          <w:pPr>
                            <w:spacing w:after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10096500</wp:posOffset>
              </wp:positionV>
              <wp:extent cx="1407795" cy="93345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7795" cy="93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mc:AlternateContent>
        <mc:Choice Requires="wpg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330200</wp:posOffset>
              </wp:positionV>
              <wp:extent cx="581025" cy="238125"/>
              <wp:effectExtent l="0" t="0" r="0" b="0"/>
              <wp:wrapNone/>
              <wp:docPr id="27" name="Obdélní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60250" y="366570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130E0" w:rsidRDefault="00BB6A89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 xml:space="preserve"> PAGE 1/ NUMPAGES 6</w:t>
                          </w:r>
                        </w:p>
                        <w:p w:rsidR="00D130E0" w:rsidRDefault="00D130E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330200</wp:posOffset>
              </wp:positionV>
              <wp:extent cx="581025" cy="238125"/>
              <wp:effectExtent b="0" l="0" r="0" t="0"/>
              <wp:wrapNone/>
              <wp:docPr id="2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89" w:rsidRDefault="00BB6A89">
      <w:pPr>
        <w:spacing w:after="0"/>
      </w:pPr>
      <w:r>
        <w:separator/>
      </w:r>
    </w:p>
  </w:footnote>
  <w:footnote w:type="continuationSeparator" w:id="0">
    <w:p w:rsidR="00BB6A89" w:rsidRDefault="00BB6A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E0" w:rsidRDefault="00D130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E0" w:rsidRDefault="00BB6A89">
    <w: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5702300</wp:posOffset>
          </wp:positionH>
          <wp:positionV relativeFrom="page">
            <wp:posOffset>360045</wp:posOffset>
          </wp:positionV>
          <wp:extent cx="1051119" cy="1542185"/>
          <wp:effectExtent l="0" t="0" r="0" b="0"/>
          <wp:wrapNone/>
          <wp:docPr id="29" name="image1.png" descr="Itchy:Users:mcervenka:Documents:Graphic work:Společnost &quot;E&quot;:Společnost E - nová identita:_Merkantilie:Společnost E hlavičkový papír_1:_:Hlavičkový papír E_1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tchy:Users:mcervenka:Documents:Graphic work:Společnost &quot;E&quot;:Společnost E - nová identita:_Merkantilie:Společnost E hlavičkový papír_1:_:Hlavičkový papír E_1-03.png"/>
                  <pic:cNvPicPr preferRelativeResize="0"/>
                </pic:nvPicPr>
                <pic:blipFill>
                  <a:blip r:embed="rId1"/>
                  <a:srcRect l="82582"/>
                  <a:stretch>
                    <a:fillRect/>
                  </a:stretch>
                </pic:blipFill>
                <pic:spPr>
                  <a:xfrm>
                    <a:off x="0" y="0"/>
                    <a:ext cx="1051119" cy="154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E0" w:rsidRDefault="00BB6A89">
    <w:r>
      <w:drawing>
        <wp:anchor distT="0" distB="720090" distL="114300" distR="114300" simplePos="0" relativeHeight="251659264" behindDoc="0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034638" cy="1542185"/>
          <wp:effectExtent l="0" t="0" r="0" b="0"/>
          <wp:wrapTopAndBottom distT="0" distB="720090"/>
          <wp:docPr id="30" name="image1.png" descr="Itchy:Users:mcervenka:Documents:Graphic work:Společnost &quot;E&quot;:Společnost E - nová identita:_Merkantilie:Společnost E hlavičkový papír_1:_:Hlavičkový papír E_1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tchy:Users:mcervenka:Documents:Graphic work:Společnost &quot;E&quot;:Společnost E - nová identita:_Merkantilie:Společnost E hlavičkový papír_1:_:Hlavičkový papír E_1-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4638" cy="154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254"/>
    <w:multiLevelType w:val="multilevel"/>
    <w:tmpl w:val="0E3A4E0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7A26C5"/>
    <w:multiLevelType w:val="multilevel"/>
    <w:tmpl w:val="184A4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1476E1"/>
    <w:multiLevelType w:val="multilevel"/>
    <w:tmpl w:val="CB0C49E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C32396"/>
    <w:multiLevelType w:val="multilevel"/>
    <w:tmpl w:val="E8521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B518E"/>
    <w:multiLevelType w:val="multilevel"/>
    <w:tmpl w:val="050CDA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981D97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4708CE"/>
    <w:multiLevelType w:val="multilevel"/>
    <w:tmpl w:val="E7D2E6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7E48DD"/>
    <w:multiLevelType w:val="multilevel"/>
    <w:tmpl w:val="2D1276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E0"/>
    <w:rsid w:val="00A14B87"/>
    <w:rsid w:val="00A2210F"/>
    <w:rsid w:val="00BB6A89"/>
    <w:rsid w:val="00D1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1AB8"/>
  <w15:docId w15:val="{C622BF6F-06D4-4401-A1D6-4788A372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9"/>
        <w:szCs w:val="19"/>
        <w:lang w:val="cs-CZ" w:eastAsia="cs-CZ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5E7"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9D33E4"/>
    <w:pPr>
      <w:keepNext/>
      <w:keepLines/>
      <w:numPr>
        <w:numId w:val="7"/>
      </w:numPr>
      <w:spacing w:before="480"/>
      <w:outlineLvl w:val="0"/>
    </w:pPr>
    <w:rPr>
      <w:rFonts w:ascii="Helvetica" w:eastAsiaTheme="majorEastAsia" w:hAnsi="Helvetica" w:cstheme="majorBidi"/>
      <w:bCs/>
      <w:color w:val="345A8A" w:themeColor="accent1" w:themeShade="B5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58F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58F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58F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358F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58F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58F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58F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58F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4E78B6"/>
    <w:pPr>
      <w:spacing w:after="0"/>
      <w:contextualSpacing/>
      <w:jc w:val="left"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9D33E4"/>
    <w:rPr>
      <w:rFonts w:ascii="Helvetica" w:eastAsiaTheme="majorEastAsia" w:hAnsi="Helvetica" w:cstheme="majorBidi"/>
      <w:bCs/>
      <w:noProof/>
      <w:color w:val="345A8A" w:themeColor="accent1" w:themeShade="B5"/>
      <w:sz w:val="3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4F358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58F"/>
    <w:rPr>
      <w:rFonts w:asciiTheme="majorHAnsi" w:eastAsiaTheme="majorEastAsia" w:hAnsiTheme="majorHAnsi" w:cstheme="majorBidi"/>
      <w:b/>
      <w:bCs/>
      <w:noProof/>
      <w:color w:val="4F81BD" w:themeColor="accent1"/>
      <w:sz w:val="19"/>
      <w:szCs w:val="19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58F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19"/>
      <w:szCs w:val="19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358F"/>
    <w:rPr>
      <w:rFonts w:asciiTheme="majorHAnsi" w:eastAsiaTheme="majorEastAsia" w:hAnsiTheme="majorHAnsi" w:cstheme="majorBidi"/>
      <w:noProof/>
      <w:color w:val="243F60" w:themeColor="accent1" w:themeShade="7F"/>
      <w:sz w:val="19"/>
      <w:szCs w:val="19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58F"/>
    <w:rPr>
      <w:rFonts w:asciiTheme="majorHAnsi" w:eastAsiaTheme="majorEastAsia" w:hAnsiTheme="majorHAnsi" w:cstheme="majorBidi"/>
      <w:i/>
      <w:iCs/>
      <w:noProof/>
      <w:color w:val="243F60" w:themeColor="accent1" w:themeShade="7F"/>
      <w:sz w:val="19"/>
      <w:szCs w:val="19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58F"/>
    <w:rPr>
      <w:rFonts w:asciiTheme="majorHAnsi" w:eastAsiaTheme="majorEastAsia" w:hAnsiTheme="majorHAnsi" w:cstheme="majorBidi"/>
      <w:i/>
      <w:iCs/>
      <w:noProof/>
      <w:color w:val="404040" w:themeColor="text1" w:themeTint="BF"/>
      <w:sz w:val="19"/>
      <w:szCs w:val="19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58F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58F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qFormat/>
    <w:rsid w:val="0018670C"/>
    <w:pPr>
      <w:tabs>
        <w:tab w:val="center" w:pos="4320"/>
        <w:tab w:val="right" w:pos="8640"/>
      </w:tabs>
      <w:spacing w:after="0"/>
    </w:pPr>
    <w:rPr>
      <w:color w:val="981D97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18670C"/>
    <w:rPr>
      <w:rFonts w:ascii="Arial" w:hAnsi="Arial"/>
      <w:noProof/>
      <w:color w:val="981D97"/>
      <w:sz w:val="14"/>
      <w:szCs w:val="19"/>
      <w:lang w:val="cs-CZ"/>
    </w:rPr>
  </w:style>
  <w:style w:type="character" w:styleId="Hypertextovodkaz">
    <w:name w:val="Hyperlink"/>
    <w:basedOn w:val="Standardnpsmoodstavce"/>
    <w:uiPriority w:val="99"/>
    <w:unhideWhenUsed/>
    <w:qFormat/>
    <w:rsid w:val="0018670C"/>
    <w:rPr>
      <w:rFonts w:ascii="Arial" w:hAnsi="Arial"/>
      <w:b/>
      <w:bCs/>
      <w:color w:val="981D97"/>
      <w:sz w:val="18"/>
      <w:szCs w:val="18"/>
      <w:u w:val="none"/>
    </w:rPr>
  </w:style>
  <w:style w:type="character" w:styleId="slostrnky">
    <w:name w:val="page number"/>
    <w:basedOn w:val="Standardnpsmoodstavce"/>
    <w:uiPriority w:val="99"/>
    <w:unhideWhenUsed/>
    <w:qFormat/>
    <w:rsid w:val="00A64B6D"/>
    <w:rPr>
      <w:rFonts w:ascii="Helvetica" w:hAnsi="Helvetica"/>
      <w:noProof w:val="0"/>
      <w:color w:val="000000"/>
      <w:sz w:val="16"/>
      <w:bdr w:val="none" w:sz="0" w:space="0" w:color="auto"/>
      <w:shd w:val="clear" w:color="auto" w:fill="auto"/>
      <w:lang w:val="cs-CZ"/>
    </w:rPr>
  </w:style>
  <w:style w:type="paragraph" w:customStyle="1" w:styleId="Nadpis11">
    <w:name w:val="Nadpis 11"/>
    <w:basedOn w:val="Normln"/>
    <w:qFormat/>
    <w:rsid w:val="00097B6D"/>
    <w:rPr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8670C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8670C"/>
    <w:rPr>
      <w:rFonts w:ascii="Arial" w:hAnsi="Arial"/>
      <w:noProof/>
      <w:sz w:val="19"/>
      <w:szCs w:val="19"/>
      <w:lang w:val="cs-CZ"/>
    </w:rPr>
  </w:style>
  <w:style w:type="paragraph" w:styleId="Odstavecseseznamem">
    <w:name w:val="List Paragraph"/>
    <w:basedOn w:val="Normln"/>
    <w:uiPriority w:val="34"/>
    <w:qFormat/>
    <w:rsid w:val="0018670C"/>
    <w:pPr>
      <w:tabs>
        <w:tab w:val="num" w:pos="720"/>
      </w:tabs>
      <w:ind w:left="720" w:hanging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E78B6"/>
    <w:pPr>
      <w:spacing w:before="100" w:beforeAutospacing="1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4E78B6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4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486"/>
    <w:rPr>
      <w:rFonts w:ascii="Segoe UI" w:hAnsi="Segoe UI" w:cs="Segoe UI"/>
      <w:noProof/>
      <w:sz w:val="18"/>
      <w:szCs w:val="18"/>
      <w:lang w:val="cs-CZ"/>
    </w:rPr>
  </w:style>
  <w:style w:type="paragraph" w:customStyle="1" w:styleId="Default">
    <w:name w:val="Default"/>
    <w:rsid w:val="00ED0A3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kPlg8FzLN0L+ggm262aEPgbRQ==">CgMxLjAyCGguZ2pkZ3hzOAByITFCVUJqYU1iWTRLcVpYSklKeVJfTkxqWU80TVhCTlI3MQ==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2891</Words>
  <Characters>17058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Červenka</dc:creator>
  <cp:lastModifiedBy>Alena Červenková</cp:lastModifiedBy>
  <cp:revision>3</cp:revision>
  <dcterms:created xsi:type="dcterms:W3CDTF">2024-04-29T11:57:00Z</dcterms:created>
  <dcterms:modified xsi:type="dcterms:W3CDTF">2024-08-05T13:52:00Z</dcterms:modified>
</cp:coreProperties>
</file>